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018F532D" w:rsidR="004122E9" w:rsidRPr="001271AE" w:rsidRDefault="00B95066" w:rsidP="00D42597">
            <w:pPr>
              <w:rPr>
                <w:rFonts w:ascii="Calibri" w:hAnsi="Calibri"/>
              </w:rPr>
            </w:pPr>
            <w:r w:rsidRPr="00B95066">
              <w:rPr>
                <w:rFonts w:ascii="Calibri" w:hAnsi="Calibri"/>
              </w:rPr>
              <w:t>Rector of Lyneham and Woodhill</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0BB48CA7">
                      <wp:simplePos x="0" y="0"/>
                      <wp:positionH relativeFrom="column">
                        <wp:posOffset>667385</wp:posOffset>
                      </wp:positionH>
                      <wp:positionV relativeFrom="paragraph">
                        <wp:posOffset>182880</wp:posOffset>
                      </wp:positionV>
                      <wp:extent cx="2552700" cy="790575"/>
                      <wp:effectExtent l="6350" t="6985" r="12700" b="1206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9525">
                                <a:solidFill>
                                  <a:srgbClr val="000000"/>
                                </a:solidFill>
                                <a:miter lim="800000"/>
                                <a:headEnd/>
                                <a:tailEnd/>
                              </a:ln>
                            </wps:spPr>
                            <wps:txbx>
                              <w:txbxContent>
                                <w:p w14:paraId="77701DA1" w14:textId="77777777" w:rsidR="00F90DD2" w:rsidRDefault="00F90DD2" w:rsidP="00F90DD2">
                                  <w:pPr>
                                    <w:rPr>
                                      <w:sz w:val="18"/>
                                      <w:szCs w:val="18"/>
                                    </w:rPr>
                                  </w:pPr>
                                  <w:r w:rsidRPr="0003622B">
                                    <w:rPr>
                                      <w:sz w:val="18"/>
                                      <w:szCs w:val="18"/>
                                    </w:rPr>
                                    <w:t>Please return to:</w:t>
                                  </w:r>
                                </w:p>
                                <w:p w14:paraId="10B0041C" w14:textId="0995D5FC" w:rsidR="00491BEF" w:rsidRPr="0003622B" w:rsidRDefault="00491BEF" w:rsidP="00F90DD2">
                                  <w:pPr>
                                    <w:rPr>
                                      <w:sz w:val="18"/>
                                      <w:szCs w:val="18"/>
                                    </w:rPr>
                                  </w:pPr>
                                  <w:r>
                                    <w:rPr>
                                      <w:sz w:val="18"/>
                                      <w:szCs w:val="18"/>
                                    </w:rPr>
                                    <w:t>Lynne.archer@salisbury.anglican.org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55pt;margin-top:14.4pt;width:20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jFg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">
                      <v:textbox>
                        <w:txbxContent>
                          <w:p w14:paraId="77701DA1" w14:textId="77777777" w:rsidR="00F90DD2" w:rsidRDefault="00F90DD2" w:rsidP="00F90DD2">
                            <w:pPr>
                              <w:rPr>
                                <w:sz w:val="18"/>
                                <w:szCs w:val="18"/>
                              </w:rPr>
                            </w:pPr>
                            <w:r w:rsidRPr="0003622B">
                              <w:rPr>
                                <w:sz w:val="18"/>
                                <w:szCs w:val="18"/>
                              </w:rPr>
                              <w:t>Please return to:</w:t>
                            </w:r>
                          </w:p>
                          <w:p w14:paraId="10B0041C" w14:textId="0995D5FC" w:rsidR="00491BEF" w:rsidRPr="0003622B" w:rsidRDefault="00491BEF" w:rsidP="00F90DD2">
                            <w:pPr>
                              <w:rPr>
                                <w:sz w:val="18"/>
                                <w:szCs w:val="18"/>
                              </w:rPr>
                            </w:pPr>
                            <w:r>
                              <w:rPr>
                                <w:sz w:val="18"/>
                                <w:szCs w:val="18"/>
                              </w:rPr>
                              <w:t>Lynne.archer@salisbury.anglican.org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7777777" w:rsidR="00F90DD2" w:rsidRDefault="00F90DD2" w:rsidP="00D42597"/>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77777777" w:rsidR="00F90DD2" w:rsidRDefault="00F90DD2" w:rsidP="00D42597"/>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76F9F"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6990A9"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C28C" w14:textId="77777777" w:rsidR="008E7683" w:rsidRDefault="008E7683" w:rsidP="008F4DE7">
      <w:pPr>
        <w:spacing w:after="0" w:line="240" w:lineRule="auto"/>
      </w:pPr>
      <w:r>
        <w:separator/>
      </w:r>
    </w:p>
  </w:endnote>
  <w:endnote w:type="continuationSeparator" w:id="0">
    <w:p w14:paraId="24BCADEA" w14:textId="77777777" w:rsidR="008E7683" w:rsidRDefault="008E7683"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F793" w14:textId="77777777" w:rsidR="008E7683" w:rsidRDefault="008E7683" w:rsidP="008F4DE7">
      <w:pPr>
        <w:spacing w:after="0" w:line="240" w:lineRule="auto"/>
      </w:pPr>
      <w:r>
        <w:separator/>
      </w:r>
    </w:p>
  </w:footnote>
  <w:footnote w:type="continuationSeparator" w:id="0">
    <w:p w14:paraId="0A22C1FE" w14:textId="77777777" w:rsidR="008E7683" w:rsidRDefault="008E7683"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0B2"/>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44366"/>
    <w:rsid w:val="00475191"/>
    <w:rsid w:val="004803E1"/>
    <w:rsid w:val="00491BEF"/>
    <w:rsid w:val="004A26AA"/>
    <w:rsid w:val="004D13C5"/>
    <w:rsid w:val="004D20E6"/>
    <w:rsid w:val="004E6C6C"/>
    <w:rsid w:val="00501F84"/>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B6478"/>
    <w:rsid w:val="008C49EC"/>
    <w:rsid w:val="008D755F"/>
    <w:rsid w:val="008E7683"/>
    <w:rsid w:val="008F4DE7"/>
    <w:rsid w:val="00900D88"/>
    <w:rsid w:val="00910AFD"/>
    <w:rsid w:val="00920B22"/>
    <w:rsid w:val="00933450"/>
    <w:rsid w:val="00967793"/>
    <w:rsid w:val="00982FD7"/>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450F9"/>
    <w:rsid w:val="00B461A5"/>
    <w:rsid w:val="00B72A77"/>
    <w:rsid w:val="00B734DB"/>
    <w:rsid w:val="00B95066"/>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4F6D"/>
    <w:rsid w:val="00D45CD4"/>
    <w:rsid w:val="00D73C60"/>
    <w:rsid w:val="00D7688B"/>
    <w:rsid w:val="00D952FD"/>
    <w:rsid w:val="00DA6C2C"/>
    <w:rsid w:val="00DB0E3F"/>
    <w:rsid w:val="00DC331C"/>
    <w:rsid w:val="00DD0AD6"/>
    <w:rsid w:val="00DE1018"/>
    <w:rsid w:val="00DE7A6B"/>
    <w:rsid w:val="00DF704C"/>
    <w:rsid w:val="00E0542A"/>
    <w:rsid w:val="00E11464"/>
    <w:rsid w:val="00E23AEE"/>
    <w:rsid w:val="00E23EEF"/>
    <w:rsid w:val="00E250CC"/>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36FBA"/>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470DC"/>
    <w:rsid w:val="00501F84"/>
    <w:rsid w:val="008B6478"/>
    <w:rsid w:val="00913260"/>
    <w:rsid w:val="00DE7A8D"/>
    <w:rsid w:val="00F3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32E80-EC4C-43D3-BE9A-84C2184EB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3.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2262</Words>
  <Characters>11514</Characters>
  <Application>Microsoft Office Word</Application>
  <DocSecurity>0</DocSecurity>
  <Lines>633</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3</cp:revision>
  <dcterms:created xsi:type="dcterms:W3CDTF">2025-10-21T14:15:00Z</dcterms:created>
  <dcterms:modified xsi:type="dcterms:W3CDTF">2025-10-21T14:15:00Z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